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400"/>
        <w:jc w:val="center"/>
      </w:pPr>
      <w:r>
        <w:rPr>
          <w:rFonts w:ascii="Arial" w:cs="Arial" w:eastAsia="Arial" w:hAnsi="Arial"/>
          <w:b/>
          <w:bCs/>
          <w:color w:val="2E6B3E"/>
          <w:sz w:val="40"/>
          <w:szCs w:val="40"/>
        </w:rPr>
        <w:t xml:space="preserve">OCENA BEZPIECZEŃSTWA PRODUKTU</w:t>
      </w:r>
    </w:p>
    <w:p>
      <w:pPr>
        <w:spacing w:after="8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(Product Safety Assessment – PSA)</w:t>
      </w:r>
    </w:p>
    <w:p>
      <w:pPr>
        <w:spacing w:after="320"/>
        <w:jc w:val="center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zgodna z Rozporządzeniem (UE) 2023/988 – GPSR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Produkt / kategoria: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Barwniki migrujące do mydeł glicerynowych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Warianty: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Blue (E133), Green, Yellow (E102), Red (E124), Orange (E110), Brown (E155) – aqueous solutions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Podmiot odpowiedzialny: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LOFT HOUSE Sp. z o.o.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ul. Sosnowa 9, 32-064 Nielepice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NIP: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5130283080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Telefon: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+48 500 10 75 10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E-mail: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kontakt@zrob-mydlo.pl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Nr dokumentu: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PSA-BARWNIKI-MIGRUJACE-2025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Data sporządzenia: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Kwiecień 2026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Data następnego przeglądu: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Kwiecień 2027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Wersja: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1.0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shd w:fill="2E6B3E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1. IDENTYFIKACJA PRODUKTU I PODMIOTU ODPOWIEDZIALNEGO</w:t>
      </w:r>
    </w:p>
    <w:p>
      <w:pPr>
        <w:pStyle w:val="Heading2"/>
        <w:pBdr>
          <w:bottom w:val="single" w:color="C6E0CC" w:sz="4" w:space="2"/>
        </w:pBdr>
        <w:spacing w:after="80" w:before="160"/>
      </w:pPr>
      <w:r>
        <w:rPr>
          <w:rFonts w:ascii="Arial" w:cs="Arial" w:eastAsia="Arial" w:hAnsi="Arial"/>
          <w:b/>
          <w:bCs/>
          <w:color w:val="2E6B3E"/>
          <w:sz w:val="22"/>
          <w:szCs w:val="22"/>
        </w:rPr>
        <w:t xml:space="preserve">1.1. Opis produktu</w:t>
      </w:r>
    </w:p>
    <w:p>
      <w:pPr>
        <w:spacing w:after="80" w:before="40"/>
      </w:pPr>
      <w:r>
        <w:rPr>
          <w:rFonts w:ascii="Arial" w:cs="Arial" w:eastAsia="Arial" w:hAnsi="Arial"/>
          <w:sz w:val="20"/>
          <w:szCs w:val="20"/>
        </w:rPr>
        <w:t xml:space="preserve">Barwniki migrujące do mydeł glicerynowych to wodne roztwory barwników rozpuszczalnych, przeznaczone wyłącznie do barwienia baz glicerynowych metodą melt &amp; pour. Barwniki wnikają w strukturę mydła (migrują), zapewniając równomierne i intensywne zabarwienie.</w:t>
      </w:r>
    </w:p>
    <w:p>
      <w:pPr>
        <w:spacing w:after="80" w:before="40"/>
      </w:pPr>
      <w:r>
        <w:rPr>
          <w:rFonts w:ascii="Arial" w:cs="Arial" w:eastAsia="Arial" w:hAnsi="Arial"/>
          <w:sz w:val="20"/>
          <w:szCs w:val="20"/>
        </w:rPr>
        <w:t xml:space="preserve">Seria obejmuje sześć kolorów: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Migrating Dye Blue – Brilliant Blue (CI 42090 / E133), ref. no. 1-19022025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Migrating Dye Green – Pistachio Green BT, ref. no. 2-19022025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Migrating Dye Red – Ponceau 4R (CI 16255 / E124), ref. no. 3-19022025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Migrating Dye Yellow – Tartrazine (CI 19140 / E102), ref. no. 4-19022025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Migrating Dye Orange – Sunset Yellow SS (CI 15985 / E110), ref. no. 5-19022025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Migrating Dye Brown – Brown HT (CI 20285 / E155), ref. no. 6-19022025</w:t>
      </w:r>
    </w:p>
    <w:p>
      <w:pPr>
        <w:spacing w:after="6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2"/>
        <w:pBdr>
          <w:bottom w:val="single" w:color="C6E0CC" w:sz="4" w:space="2"/>
        </w:pBdr>
        <w:spacing w:after="80" w:before="160"/>
      </w:pPr>
      <w:r>
        <w:rPr>
          <w:rFonts w:ascii="Arial" w:cs="Arial" w:eastAsia="Arial" w:hAnsi="Arial"/>
          <w:b/>
          <w:bCs/>
          <w:color w:val="2E6B3E"/>
          <w:sz w:val="22"/>
          <w:szCs w:val="22"/>
        </w:rPr>
        <w:t xml:space="preserve">1.2. Zastosowanie</w:t>
      </w:r>
    </w:p>
    <w:p>
      <w:pPr>
        <w:spacing w:after="8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Zastosowanie zamierzone: </w:t>
      </w:r>
      <w:r>
        <w:rPr>
          <w:rFonts w:ascii="Arial" w:cs="Arial" w:eastAsia="Arial" w:hAnsi="Arial"/>
          <w:sz w:val="20"/>
          <w:szCs w:val="20"/>
        </w:rPr>
        <w:t xml:space="preserve">dodatek barwiący do baz glicerynowych przy produkcji mydeł robionych ręcznie. Zalecane dozowanie: 0,1–3% wagowo.</w:t>
      </w:r>
    </w:p>
    <w:p>
      <w:pPr>
        <w:spacing w:after="8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Odradzane zastosowania: </w:t>
      </w:r>
      <w:r>
        <w:rPr>
          <w:rFonts w:ascii="Arial" w:cs="Arial" w:eastAsia="Arial" w:hAnsi="Arial"/>
          <w:sz w:val="20"/>
          <w:szCs w:val="20"/>
        </w:rPr>
        <w:t xml:space="preserve">nie stosować doustnie, nie stosować jako samodzielny kosmetyk, nie stosować do barwienia żywności ani kosmetyków innych niż mydła glicerynowe.</w:t>
      </w:r>
    </w:p>
    <w:p>
      <w:pPr>
        <w:spacing w:after="6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2"/>
        <w:pBdr>
          <w:bottom w:val="single" w:color="C6E0CC" w:sz="4" w:space="2"/>
        </w:pBdr>
        <w:spacing w:after="80" w:before="160"/>
      </w:pPr>
      <w:r>
        <w:rPr>
          <w:rFonts w:ascii="Arial" w:cs="Arial" w:eastAsia="Arial" w:hAnsi="Arial"/>
          <w:b/>
          <w:bCs/>
          <w:color w:val="2E6B3E"/>
          <w:sz w:val="22"/>
          <w:szCs w:val="22"/>
        </w:rPr>
        <w:t xml:space="preserve">1.3. Dane podmiotu odpowiedzialnego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Firma: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LOFT HOUSE Sp. z o.o.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Rola: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Dystrybutor / importer na rynek polski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ul. Sosnowa 9, 32-064 Nielepice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NIP: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5130283080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Kontakt: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+48 500 10 75 10  │  kontakt@zrob-mydlo.pl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shd w:fill="2E6B3E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2. CHARAKTERYSTYKA BEZPIECZEŃSTWA</w:t>
      </w:r>
    </w:p>
    <w:p>
      <w:pPr>
        <w:pStyle w:val="Heading2"/>
        <w:pBdr>
          <w:bottom w:val="single" w:color="C6E0CC" w:sz="4" w:space="2"/>
        </w:pBdr>
        <w:spacing w:after="80" w:before="160"/>
      </w:pPr>
      <w:r>
        <w:rPr>
          <w:rFonts w:ascii="Arial" w:cs="Arial" w:eastAsia="Arial" w:hAnsi="Arial"/>
          <w:b/>
          <w:bCs/>
          <w:color w:val="2E6B3E"/>
          <w:sz w:val="22"/>
          <w:szCs w:val="22"/>
        </w:rPr>
        <w:t xml:space="preserve">2.1. Właściwości fizyczne i chemiczne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Stan skupienia: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Ciecz (roztwór wodny)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Kolor: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Różne – odpowiada nazwie wariantu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Zapach: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Brak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Rozpuszczalność w wodzie: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Całkowita (barwnik migrujący)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Palność: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Niepalny (baza wodna)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Odporność na alkalia: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Dobra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Odporność na światło: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Dobra (0,025% w mydle)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Temperatura przechowywania: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Poniżej 25°C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Trwałość: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12/2027</w:t>
            </w:r>
          </w:p>
        </w:tc>
      </w:tr>
    </w:tbl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2"/>
        <w:pBdr>
          <w:bottom w:val="single" w:color="C6E0CC" w:sz="4" w:space="2"/>
        </w:pBdr>
        <w:spacing w:after="80" w:before="160"/>
      </w:pPr>
      <w:r>
        <w:rPr>
          <w:rFonts w:ascii="Arial" w:cs="Arial" w:eastAsia="Arial" w:hAnsi="Arial"/>
          <w:b/>
          <w:bCs/>
          <w:color w:val="2E6B3E"/>
          <w:sz w:val="22"/>
          <w:szCs w:val="22"/>
        </w:rPr>
        <w:t xml:space="preserve">2.2. Kluczowe informacje o składzie</w:t>
      </w:r>
    </w:p>
    <w:p>
      <w:pPr>
        <w:spacing w:after="80" w:before="40"/>
      </w:pPr>
      <w:r>
        <w:rPr>
          <w:rFonts w:ascii="Arial" w:cs="Arial" w:eastAsia="Arial" w:hAnsi="Arial"/>
          <w:sz w:val="20"/>
          <w:szCs w:val="20"/>
        </w:rPr>
        <w:t xml:space="preserve">Wszystkie warianty barwników migrujących zawierają jako składnik aktywny barwnik spożywczy dopuszczony w UE (seria E) oraz wodę jako nośnik. Żaden składnik nie jest klasyfikowany jako niebezpieczny zgodnie z rozporządzeniem (WE) nr 1272/2008 (CLP).</w:t>
      </w:r>
    </w:p>
    <w:p>
      <w:pPr>
        <w:spacing w:after="80" w:before="40"/>
      </w:pPr>
      <w:r>
        <w:rPr>
          <w:rFonts w:ascii="Arial" w:cs="Arial" w:eastAsia="Arial" w:hAnsi="Arial"/>
          <w:sz w:val="20"/>
          <w:szCs w:val="20"/>
        </w:rPr>
        <w:t xml:space="preserve">Skład INCI poszczególnych wariantów: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Migrating Dye Blue: Brilliant Blue (CI 42090 / E133, CAS 3844-45-9), Aqua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Migrating Dye Green: Pistachio Green BT, Aqua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Migrating Dye Red: Ponceau 4R (CI 16255 / E124, CAS 2611-82-7), Aqua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Migrating Dye Yellow: Tartrazine (CI 19140 / E102, CAS 1934-21-0), Aqua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Migrating Dye Orange: Sunset Yellow SS (CI 15985 / E110, CAS 2783-94-0), Aqua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Migrating Dye Brown: Brown HT (CI 20285 / E155, CAS 4553-89-3), Aqua</w:t>
      </w:r>
    </w:p>
    <w:p>
      <w:pPr>
        <w:spacing w:after="6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8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Klasyfikacja CLP: </w:t>
      </w:r>
      <w:r>
        <w:rPr>
          <w:rFonts w:ascii="Arial" w:cs="Arial" w:eastAsia="Arial" w:hAnsi="Arial"/>
          <w:sz w:val="20"/>
          <w:szCs w:val="20"/>
        </w:rPr>
        <w:t xml:space="preserve">produkt niesklasyfikowany jako niebezpieczny – brak piktogramów i hasła ostrzegawczego.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shd w:fill="2E6B3E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3. OCENA RYZYKA</w:t>
      </w:r>
    </w:p>
    <w:p>
      <w:pPr>
        <w:pStyle w:val="Heading2"/>
        <w:pBdr>
          <w:bottom w:val="single" w:color="C6E0CC" w:sz="4" w:space="2"/>
        </w:pBdr>
        <w:spacing w:after="80" w:before="160"/>
      </w:pPr>
      <w:r>
        <w:rPr>
          <w:rFonts w:ascii="Arial" w:cs="Arial" w:eastAsia="Arial" w:hAnsi="Arial"/>
          <w:b/>
          <w:bCs/>
          <w:color w:val="2E6B3E"/>
          <w:sz w:val="22"/>
          <w:szCs w:val="22"/>
        </w:rPr>
        <w:t xml:space="preserve">3.1. Macierz oceny ryzyka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1735"/>
        <w:gridCol w:w="4241"/>
      </w:tblGrid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6B3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Kryterium / wymaganie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6B3E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Ocena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6B3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Komentarz / uzasadnienie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Kontakt ze skórą przy dozowaniu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Stężenie użytkowe bezpieczne. Barwniki mogą intensywnie zabarwiać skórę – zaleca się rękawice.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Kontakt z oczami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Możliwe przemijające podrażnienie. W przypadku kontaktu przemyć obficie wodą przez min. 15 min.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Toksyczność ostra po połknięciu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Składniki aktywne to barwniki spożywcze dopuszczone w UE – niska toksyczność ostra. Produkt nie jest przeznaczony do spożycia.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Ryzyko uczulenia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Brak składników o udowodnionym działaniu uczulającym w stosowanych stężeniach. Barwniki azo (E110, E124, E155) – stosować z ostrożnością u osób z alergią na aspirynę.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Zagrożenie dla dzieci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Ostrzeżenie P102 na etykiecie. Trwałe zabarwienie skóry i powierzchni możliwe.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Zagrożenie dla środowiska wodnego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Barwniki mogą powodować zabarwienie wód. Zakaz wylewania do kanalizacji na etykiecie.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Zagrożenie pożarowe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Produkt niepalny (baza wodna).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Toksyczność przewlekła / CMR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Brak składników CMR w stosowanych stężeniach.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Substancje PBT/vPvB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Brak substancji PBT/vPvB.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Substancje SVHC (REACH)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Żaden składnik nie figuruje na liście kandydackiej SVHC powyżej 0,1%.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Trwałe zabarwienie powierzchni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Ryzyko zabarwienia skóry i powierzchni – informacja na etykiecie. Brak zagrożenia zdrowotnego.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Dopuszczalność barwników w UE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Wszystkie barwniki serii E dopuszczone do stosowania w UE. Pistachio Green BT (Migrating Dye Green) dopuszczony do mydeł glicerynowych wg świadectwa jakości dostawcy.</w:t>
            </w:r>
          </w:p>
        </w:tc>
      </w:tr>
    </w:tbl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2"/>
        <w:pBdr>
          <w:bottom w:val="single" w:color="C6E0CC" w:sz="4" w:space="2"/>
        </w:pBdr>
        <w:spacing w:after="80" w:before="160"/>
      </w:pPr>
      <w:r>
        <w:rPr>
          <w:rFonts w:ascii="Arial" w:cs="Arial" w:eastAsia="Arial" w:hAnsi="Arial"/>
          <w:b/>
          <w:bCs/>
          <w:color w:val="2E6B3E"/>
          <w:sz w:val="22"/>
          <w:szCs w:val="22"/>
        </w:rPr>
        <w:t xml:space="preserve">3.2. Wniosek</w:t>
      </w:r>
    </w:p>
    <w:p>
      <w:pPr>
        <w:pBdr>
          <w:left w:val="single" w:color="2E6B3E" w:sz="12" w:space="4"/>
        </w:pBdr>
        <w:shd w:fill="EBF5EE" w:val="clear"/>
        <w:spacing w:after="80" w:before="80"/>
        <w:ind w:left="120" w:right="120"/>
      </w:pPr>
      <w:r>
        <w:rPr>
          <w:rFonts w:ascii="Arial" w:cs="Arial" w:eastAsia="Arial" w:hAnsi="Arial"/>
          <w:sz w:val="20"/>
          <w:szCs w:val="20"/>
        </w:rPr>
        <w:t xml:space="preserve">Barwniki migrujące do mydeł glicerynowych, stosowane zgodnie z przeznaczeniem (0,1–3% do baz glicerynowych), są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BEZPIECZNE</w:t>
      </w:r>
      <w:r>
        <w:rPr>
          <w:rFonts w:ascii="Arial" w:cs="Arial" w:eastAsia="Arial" w:hAnsi="Arial"/>
          <w:sz w:val="20"/>
          <w:szCs w:val="20"/>
        </w:rPr>
        <w:t xml:space="preserve"> dla konsumentów i nie stwarzają nieakceptowalnego ryzyka dla zdrowia.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shd w:fill="2E6B3E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4. ZGODNOŚĆ Z PRZEPISAMI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1735"/>
        <w:gridCol w:w="4241"/>
      </w:tblGrid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6B3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Kryterium / wymaganie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6B3E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Ocena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E6B3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Komentarz / uzasadnienie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Rozp. (UE) 2023/988 – GPSR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Niniejszy PSA stanowi element dokumentacji wymaganej przez GPSR.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Rozp. (WE) 1907/2006 – REACH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Brak SVHC &gt;0,1%. Karty SDS dostępne dla każdego wariantu.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Rozp. (WE) 1272/2008 – CLP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Mieszaniny niesklasyfikowane. Etykiety zgodne.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Rozp. (WE) 1223/2009 – Kosmetyki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Barwniki stosowane jako składnik mydła – nie bezpośrednio na skórę.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Dyrektywa 2008/98/WE – Odpady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Opakowania i odpady usuwane zgodnie z dyrektywą.</w:t>
            </w:r>
          </w:p>
        </w:tc>
      </w:tr>
      <w:tr>
        <w:tc>
          <w:tcPr>
            <w:tcW w:type="dxa" w:w="366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Świadectwa jakości dostawcy</w:t>
            </w:r>
          </w:p>
        </w:tc>
        <w:tc>
          <w:tcPr>
            <w:tcW w:type="dxa" w:w="173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1A7A35"/>
                <w:sz w:val="19"/>
                <w:szCs w:val="19"/>
              </w:rPr>
              <w:t xml:space="preserve">SPEŁNIONE</w:t>
            </w:r>
          </w:p>
        </w:tc>
        <w:tc>
          <w:tcPr>
            <w:tcW w:type="dxa" w:w="424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9"/>
                <w:szCs w:val="19"/>
              </w:rPr>
              <w:t xml:space="preserve">Świadectwa jakości nr 1–4/19022025 wystawione przez HAPPY HOBBY Sp. z o.o. (warianty 5–6 na podstawie analogii z serią).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shd w:fill="2E6B3E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5. INSTRUKCJA BEZPIECZNEGO STOSOWANIA</w:t>
      </w:r>
    </w:p>
    <w:p>
      <w:pPr>
        <w:pStyle w:val="Heading2"/>
        <w:pBdr>
          <w:bottom w:val="single" w:color="C6E0CC" w:sz="4" w:space="2"/>
        </w:pBdr>
        <w:spacing w:after="80" w:before="160"/>
      </w:pPr>
      <w:r>
        <w:rPr>
          <w:rFonts w:ascii="Arial" w:cs="Arial" w:eastAsia="Arial" w:hAnsi="Arial"/>
          <w:b/>
          <w:bCs/>
          <w:color w:val="2E6B3E"/>
          <w:sz w:val="22"/>
          <w:szCs w:val="22"/>
        </w:rPr>
        <w:t xml:space="preserve">5.1. Sposób użytkowania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Dodawać barwnik do stopionej bazy glicerynowej (~65°C), mieszając do ujednolicenia koloru.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Zalecane dozowanie: 0,1–3% wagowo na masę bazy (kilka kropel na 100 g bazy).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Przed użyciem wymieszać – barwnik może sedymentować.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Po użyciu szczelnie zamknąć opakowanie i przechowywać w temp. &lt;25°C, z dala od światła.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Nie mieszać z mydłami na zimno (CP) ani innymi bazami bez uprzedniego testu zgodności.</w:t>
      </w:r>
    </w:p>
    <w:p>
      <w:pPr>
        <w:spacing w:after="6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2"/>
        <w:pBdr>
          <w:bottom w:val="single" w:color="C6E0CC" w:sz="4" w:space="2"/>
        </w:pBdr>
        <w:spacing w:after="80" w:before="160"/>
      </w:pPr>
      <w:r>
        <w:rPr>
          <w:rFonts w:ascii="Arial" w:cs="Arial" w:eastAsia="Arial" w:hAnsi="Arial"/>
          <w:b/>
          <w:bCs/>
          <w:color w:val="2E6B3E"/>
          <w:sz w:val="22"/>
          <w:szCs w:val="22"/>
        </w:rPr>
        <w:t xml:space="preserve">5.2. Środki ostrożności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Chronić przed dziećmi (P102).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Używać rękawic ochronnych – barwniki mogą intensywnie i trwale zabarwiać skórę.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Unikać kontaktu z oczami. W razie kontaktu – przemyć obficie wodą przez min. 15 minut.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Pracować w wentylowanym pomieszczeniu.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Nie wylewać do kanalizacji ani cieków wodnych.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Barwniki azo (E110, E124, E155) – zachować ostrożność u osób uczulonych na aspirynę.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shd w:fill="2E6B3E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6. DOKUMENTACJA TECHNICZNA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Karty charakterystyki (SDS):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Dostępne dla każdego wariantu kolorystycznego (nr ref. 1–6/19022025). Sporządzone przez LOFT HOUSE Sp. z o.o.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Karty techniczne (TDS):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Dostępne dla każdego wariantu kolorystycznego. Sporządzone przez LOFT HOUSE Sp. z o.o.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Świadectwa jakości: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Nr 1–4/19022025 wystawione przez dostawcę HAPPY HOBBY Sp. z o.o. Warianty 5 i 6 (Orange, Brown) – na podstawie analogii z serią.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Rejestr reklamacji: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Prowadzony przez LOFT HOUSE Sp. z o.o.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Przechowywanie dokumentacji: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ul. Sosnowa 9, 32-064 Nielepice; kopie elektroniczne na serwerach firmy.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shd w:fill="2E6B3E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7. MONITOROWANIE I POSTĘPOWANIE PRZY INCYDENTACH</w:t>
      </w:r>
    </w:p>
    <w:p>
      <w:pPr>
        <w:spacing w:after="80" w:before="40"/>
      </w:pPr>
      <w:r>
        <w:rPr>
          <w:rFonts w:ascii="Arial" w:cs="Arial" w:eastAsia="Arial" w:hAnsi="Arial"/>
          <w:sz w:val="20"/>
          <w:szCs w:val="20"/>
        </w:rPr>
        <w:t xml:space="preserve">LOFT HOUSE Sp. z o.o. monitoruje alerty systemu Safety Gate, informacje dostawcy i reklamacje konsumentów. W przypadku stwierdzenia zagrożenia: niezwłoczne powiadomienie UOKiK, wstrzymanie sprzedaży jeśli konieczne, poinformowanie konsumentów oraz zgłoszenie do Safety Gate przy poważnym zagrożeniu.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Heading1"/>
        <w:shd w:fill="2E6B3E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8. OŚWIADCZENIE I PODPIS</w:t>
      </w:r>
    </w:p>
    <w:p>
      <w:pPr>
        <w:spacing w:after="80" w:before="40"/>
      </w:pPr>
      <w:r>
        <w:rPr>
          <w:rFonts w:ascii="Arial" w:cs="Arial" w:eastAsia="Arial" w:hAnsi="Arial"/>
          <w:sz w:val="20"/>
          <w:szCs w:val="20"/>
        </w:rPr>
        <w:t xml:space="preserve">Niniejsza Ocena Bezpieczeństwa Produktu została sporządzona na podstawie dostępnych danych technicznych, świadectw jakości dostawcy oraz obowiązujących przepisów prawa. Dokument będzie aktualizowany w przypadku zmiany składu, przepisów lub stwierdzenia nowych zagrożeń.</w:t>
      </w:r>
    </w:p>
    <w:p>
      <w:pPr>
        <w:spacing w:after="60"/>
      </w:pPr>
      <w:r>
        <w:rPr>
          <w:rFonts w:ascii="Arial" w:cs="Arial" w:eastAsia="Arial" w:hAnsi="Arial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Dokument sporządził: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LOFT HOUSE Sp. z o.o.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Data sporządzenia: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Kwiecień 2026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Następny przegląd: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Kwiecień 2027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Podpis osoby odpowiedzialnej: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B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Stanowisko:</w:t>
            </w:r>
          </w:p>
        </w:tc>
        <w:tc>
          <w:tcPr>
            <w:tcW w:type="dxa" w:w="6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Osoba odpowiedzialna za bezpieczeństwo produktów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top w:val="single" w:color="AAAAAA" w:sz="4" w:space="4"/>
        </w:pBdr>
        <w:tabs>
          <w:tab w:val="right" w:pos="9638"/>
        </w:tabs>
        <w:spacing w:before="80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Podpis i pieczęć</w:t>
      </w:r>
      <w:r>
        <w:rPr>
          <w:rFonts w:ascii="Arial" w:cs="Arial" w:eastAsia="Arial" w:hAnsi="Arial"/>
        </w:rPr>
        <w:t xml:space="preserve">						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Data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6E0CC" w:sz="4" w:space="2"/>
      </w:pBdr>
      <w:spacing w:before="60"/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PSA-BARWNIKI-MIGRUJACE-2025  |  LOFT HOUSE Sp. z o.o.  |  Strona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6"/>
        <w:szCs w:val="16"/>
      </w:rPr>
      <w:t xml:space="preserve"> z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hd w:fill="2E6B3E" w:val="clear"/>
      <w:spacing w:after="60" w:before="60"/>
      <w:ind w:left="120" w:right="120"/>
    </w:pPr>
    <w:r>
      <w:rPr>
        <w:rFonts w:ascii="Arial" w:cs="Arial" w:eastAsia="Arial" w:hAnsi="Arial"/>
        <w:b/>
        <w:bCs/>
        <w:color w:val="FFFFFF"/>
        <w:sz w:val="18"/>
        <w:szCs w:val="18"/>
      </w:rPr>
      <w:t xml:space="preserve">OCENA BEZPIECZEŃSTWA PRODUKTU – BARWNIKI MIGRUJĄCE DO MYDEŁ GLICERYNOWYCH</w:t>
    </w:r>
  </w:p>
  <w:p>
    <w:pPr>
      <w:pBdr>
        <w:bottom w:val="single" w:color="C6E0CC" w:sz="4" w:space="2"/>
      </w:pBdr>
      <w:spacing w:after="40"/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LOFT HOUSE Sp. z o.o.  |  ul. Sosnowa 9, 32-064 Nielepice  |  kontakt@zrob-mydlo.pl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  <w:rPr>
        <w:rFonts w:ascii="Arial" w:cs="Arial" w:eastAsia="Arial" w:hAnsi="Arial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00"/>
      <w:outlineLvl w:val="0"/>
    </w:pPr>
    <w:rPr>
      <w:rFonts w:ascii="Arial" w:cs="Arial" w:eastAsia="Arial" w:hAnsi="Arial"/>
      <w:b/>
      <w:bCs/>
      <w:color w:val="FFFFFF"/>
      <w:sz w:val="24"/>
      <w:szCs w:val="24"/>
    </w:rPr>
  </w:style>
  <w:style w:type="paragraph" w:styleId="Heading2">
    <w:name w:val="Heading 2"/>
    <w:basedOn w:val="Normal"/>
    <w:next w:val="Normal"/>
    <w:qFormat/>
    <w:pPr>
      <w:spacing w:after="80" w:before="160"/>
      <w:outlineLvl w:val="1"/>
    </w:pPr>
    <w:rPr>
      <w:rFonts w:ascii="Arial" w:cs="Arial" w:eastAsia="Arial" w:hAnsi="Arial"/>
      <w:b/>
      <w:bCs/>
      <w:color w:val="2E6B3E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2026-04-16T06:48:48.208Z</dcterms:created>
  <dcterms:modified xsi:type="dcterms:W3CDTF">2026-04-16T06:48:48.209Z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